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6D9A0">
      <w:pPr>
        <w:widowControl w:val="0"/>
        <w:spacing w:before="120" w:after="120" w:line="500" w:lineRule="exact"/>
        <w:jc w:val="center"/>
        <w:outlineLvl w:val="0"/>
        <w:rPr>
          <w:rFonts w:hint="default" w:ascii="宋体" w:hAnsi="宋体" w:eastAsia="宋体" w:cs="宋体"/>
          <w:b/>
          <w:color w:val="000000"/>
          <w:sz w:val="44"/>
          <w:szCs w:val="21"/>
          <w:highlight w:val="none"/>
          <w:lang w:val="en-US" w:eastAsia="zh-CN" w:bidi="ar-SA"/>
        </w:rPr>
      </w:pPr>
      <w:bookmarkStart w:id="11" w:name="_GoBack"/>
      <w:bookmarkEnd w:id="11"/>
      <w:r>
        <w:rPr>
          <w:rFonts w:hint="eastAsia" w:ascii="宋体" w:hAnsi="宋体" w:eastAsia="宋体" w:cs="宋体"/>
          <w:b/>
          <w:color w:val="000000"/>
          <w:sz w:val="44"/>
          <w:szCs w:val="21"/>
          <w:highlight w:val="none"/>
          <w:lang w:val="en-US" w:eastAsia="zh-CN" w:bidi="ar-SA"/>
        </w:rPr>
        <w:t>采购需求</w:t>
      </w:r>
    </w:p>
    <w:p w14:paraId="2542A21C">
      <w:pPr>
        <w:spacing w:before="120" w:after="120" w:line="0" w:lineRule="atLeast"/>
        <w:ind w:firstLine="482"/>
        <w:jc w:val="left"/>
        <w:rPr>
          <w:rFonts w:hint="default" w:ascii="Times New Roman" w:hAnsi="Times New Roman" w:eastAsia="仿宋" w:cs="Arial"/>
          <w:b/>
          <w:bCs/>
          <w:color w:val="000000"/>
          <w:kern w:val="0"/>
          <w:szCs w:val="21"/>
          <w:highlight w:val="none"/>
        </w:rPr>
      </w:pPr>
      <w:bookmarkStart w:id="0" w:name="_Toc20687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采购标的清单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4525"/>
        <w:gridCol w:w="2836"/>
      </w:tblGrid>
      <w:tr w14:paraId="2A2F3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08" w:type="dxa"/>
            <w:noWrap w:val="0"/>
            <w:vAlign w:val="center"/>
          </w:tcPr>
          <w:p w14:paraId="716C72F1">
            <w:pPr>
              <w:spacing w:before="120" w:after="120" w:line="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Arial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采购包</w:t>
            </w:r>
          </w:p>
        </w:tc>
        <w:tc>
          <w:tcPr>
            <w:tcW w:w="4778" w:type="dxa"/>
            <w:noWrap w:val="0"/>
            <w:vAlign w:val="center"/>
          </w:tcPr>
          <w:p w14:paraId="6F72E674">
            <w:pPr>
              <w:spacing w:before="120" w:after="120" w:line="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Arial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采购标的</w:t>
            </w:r>
          </w:p>
        </w:tc>
        <w:tc>
          <w:tcPr>
            <w:tcW w:w="2993" w:type="dxa"/>
            <w:noWrap w:val="0"/>
            <w:vAlign w:val="center"/>
          </w:tcPr>
          <w:p w14:paraId="5369404E">
            <w:pPr>
              <w:spacing w:before="120" w:after="120" w:line="0" w:lineRule="atLeast"/>
              <w:jc w:val="center"/>
              <w:rPr>
                <w:rFonts w:hint="default" w:ascii="宋体" w:hAnsi="宋体" w:eastAsia="Arial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Arial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对应中小企业划分标准所属行业</w:t>
            </w:r>
          </w:p>
        </w:tc>
      </w:tr>
      <w:tr w14:paraId="2E475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08" w:type="dxa"/>
            <w:noWrap w:val="0"/>
            <w:vAlign w:val="center"/>
          </w:tcPr>
          <w:p w14:paraId="7A55D61D">
            <w:pPr>
              <w:spacing w:before="120" w:after="120" w:line="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Arial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778" w:type="dxa"/>
            <w:noWrap w:val="0"/>
            <w:vAlign w:val="center"/>
          </w:tcPr>
          <w:p w14:paraId="13176ADF">
            <w:pPr>
              <w:spacing w:before="120" w:after="120" w:line="0" w:lineRule="atLeast"/>
              <w:jc w:val="center"/>
              <w:rPr>
                <w:rFonts w:hint="default" w:ascii="宋体" w:hAnsi="宋体" w:eastAsia="Arial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Arial" w:cs="宋体"/>
                <w:color w:val="000000"/>
                <w:kern w:val="0"/>
                <w:sz w:val="24"/>
                <w:szCs w:val="24"/>
                <w:highlight w:val="none"/>
              </w:rPr>
              <w:t>沭阳县2025年飞机施药防治美国白蛾项目</w:t>
            </w:r>
          </w:p>
        </w:tc>
        <w:tc>
          <w:tcPr>
            <w:tcW w:w="2993" w:type="dxa"/>
            <w:noWrap w:val="0"/>
            <w:vAlign w:val="center"/>
          </w:tcPr>
          <w:p w14:paraId="45585E59">
            <w:pPr>
              <w:spacing w:before="120" w:after="120" w:line="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Arial" w:cs="宋体"/>
                <w:color w:val="000000"/>
                <w:kern w:val="0"/>
                <w:sz w:val="24"/>
                <w:szCs w:val="24"/>
                <w:highlight w:val="none"/>
              </w:rPr>
              <w:t>其他未列明行业</w:t>
            </w:r>
          </w:p>
        </w:tc>
      </w:tr>
    </w:tbl>
    <w:p w14:paraId="0AEA1B02">
      <w:pPr>
        <w:widowControl w:val="0"/>
        <w:spacing w:before="120" w:after="120" w:line="500" w:lineRule="exact"/>
        <w:ind w:firstLine="538"/>
        <w:jc w:val="left"/>
        <w:outlineLvl w:val="0"/>
        <w:rPr>
          <w:rFonts w:hint="default" w:ascii="宋体" w:hAnsi="宋体" w:eastAsia="宋体" w:cs="宋体"/>
          <w:b/>
          <w:bCs/>
          <w:spacing w:val="14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14"/>
          <w:sz w:val="24"/>
          <w:szCs w:val="24"/>
          <w:highlight w:val="none"/>
          <w:lang w:val="en-US" w:eastAsia="zh-CN" w:bidi="ar-SA"/>
        </w:rPr>
        <w:t>一、项目背景</w:t>
      </w:r>
      <w:bookmarkEnd w:id="0"/>
    </w:p>
    <w:p w14:paraId="53B67586">
      <w:pPr>
        <w:widowControl w:val="0"/>
        <w:spacing w:before="120" w:line="360" w:lineRule="auto"/>
        <w:ind w:firstLine="536"/>
        <w:jc w:val="left"/>
        <w:outlineLvl w:val="1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 w:bidi="ar-SA"/>
        </w:rPr>
      </w:pPr>
      <w:bookmarkStart w:id="1" w:name="_Toc22264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（一）项目简介</w:t>
      </w:r>
      <w:bookmarkEnd w:id="1"/>
    </w:p>
    <w:p w14:paraId="02D34582">
      <w:pPr>
        <w:widowControl w:val="0"/>
        <w:spacing w:before="120" w:line="360" w:lineRule="auto"/>
        <w:ind w:firstLine="536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1、飞防区域：沭阳县全域(具体飞防地段在签订合同时由招标单位确定)。</w:t>
      </w:r>
    </w:p>
    <w:p w14:paraId="2FB72F75">
      <w:pPr>
        <w:widowControl w:val="0"/>
        <w:spacing w:line="360" w:lineRule="auto"/>
        <w:ind w:firstLine="536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2、数量：约30万亩（具体以实际飞防面积及双方认可的专家验收组确认的合格面积为准）。</w:t>
      </w:r>
    </w:p>
    <w:p w14:paraId="330B095D">
      <w:pPr>
        <w:widowControl w:val="0"/>
        <w:spacing w:line="360" w:lineRule="auto"/>
        <w:ind w:firstLine="536"/>
        <w:jc w:val="left"/>
        <w:outlineLvl w:val="1"/>
        <w:rPr>
          <w:rFonts w:hint="default" w:ascii="宋体" w:hAnsi="宋体" w:eastAsia="宋体" w:cs="宋体"/>
          <w:spacing w:val="14"/>
          <w:sz w:val="24"/>
          <w:szCs w:val="24"/>
          <w:highlight w:val="none"/>
          <w:lang w:val="en-US" w:eastAsia="zh-CN" w:bidi="ar-SA"/>
        </w:rPr>
      </w:pPr>
      <w:bookmarkStart w:id="2" w:name="_Toc3838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（二）付款方式：</w:t>
      </w:r>
      <w:bookmarkEnd w:id="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合同签订后，中标人开具正式发票预付30%合同价款。飞防后10天内经初验收达到约定飞防效果后，中标人开具正式发票，支付至合同金额的50%。经全面验收飞防效果达到预定目标后，付清剩余飞防费用。</w:t>
      </w:r>
    </w:p>
    <w:p w14:paraId="6D7CB701">
      <w:pPr>
        <w:widowControl w:val="0"/>
        <w:spacing w:line="360" w:lineRule="auto"/>
        <w:ind w:firstLine="538"/>
        <w:jc w:val="left"/>
        <w:outlineLvl w:val="0"/>
        <w:rPr>
          <w:rFonts w:hint="default" w:ascii="宋体" w:hAnsi="宋体" w:eastAsia="宋体" w:cs="宋体"/>
          <w:b/>
          <w:bCs/>
          <w:spacing w:val="14"/>
          <w:sz w:val="24"/>
          <w:szCs w:val="24"/>
          <w:highlight w:val="none"/>
          <w:lang w:val="en-US" w:eastAsia="zh-CN" w:bidi="ar-SA"/>
        </w:rPr>
      </w:pPr>
      <w:bookmarkStart w:id="3" w:name="_Toc27993"/>
      <w:r>
        <w:rPr>
          <w:rFonts w:hint="eastAsia" w:ascii="宋体" w:hAnsi="宋体" w:eastAsia="宋体" w:cs="宋体"/>
          <w:b/>
          <w:bCs/>
          <w:spacing w:val="14"/>
          <w:sz w:val="24"/>
          <w:szCs w:val="24"/>
          <w:highlight w:val="none"/>
          <w:lang w:val="en-US" w:eastAsia="zh-CN" w:bidi="ar-SA"/>
        </w:rPr>
        <w:t>二、 技术参数</w:t>
      </w:r>
      <w:bookmarkEnd w:id="3"/>
    </w:p>
    <w:p w14:paraId="20C36075">
      <w:pPr>
        <w:widowControl w:val="0"/>
        <w:spacing w:line="360" w:lineRule="auto"/>
        <w:ind w:right="-286" w:firstLine="536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（一）飞机种类技术参数设备要求：直升机机型,飞机性能完好、安全，喷药设备先进、采用超低容量喷雾(具体要求见下表)。</w:t>
      </w:r>
    </w:p>
    <w:p w14:paraId="50978763">
      <w:pPr>
        <w:widowControl w:val="0"/>
        <w:spacing w:line="360" w:lineRule="auto"/>
        <w:ind w:firstLine="480"/>
        <w:jc w:val="left"/>
        <w:rPr>
          <w:rFonts w:hint="default" w:ascii="宋体" w:hAnsi="宋体" w:eastAsia="宋体" w:cs="宋体"/>
          <w:spacing w:val="14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-SA"/>
        </w:rPr>
        <w:t>飞机技术参数表(按载药量600公斤计算，其他载药量以此类推。)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6"/>
        <w:gridCol w:w="4374"/>
      </w:tblGrid>
      <w:tr w14:paraId="7CDD8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4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86CEB8">
            <w:pPr>
              <w:ind w:left="75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kern w:val="0"/>
                <w:sz w:val="24"/>
                <w:szCs w:val="24"/>
                <w:highlight w:val="none"/>
                <w:lang w:eastAsia="en-US"/>
              </w:rPr>
              <w:t>技术参数</w:t>
            </w:r>
            <w:r>
              <w:rPr>
                <w:rFonts w:hint="eastAsia" w:ascii="宋体" w:hAnsi="宋体" w:eastAsia="宋体" w:cs="宋体"/>
                <w:b/>
                <w:spacing w:val="-2"/>
                <w:kern w:val="0"/>
                <w:sz w:val="24"/>
                <w:szCs w:val="24"/>
                <w:highlight w:val="none"/>
              </w:rPr>
              <w:t>要求</w:t>
            </w:r>
          </w:p>
        </w:tc>
      </w:tr>
      <w:tr w14:paraId="48D2C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046" w:type="dxa"/>
            <w:tcBorders>
              <w:top w:val="single" w:color="auto" w:sz="4" w:space="0"/>
            </w:tcBorders>
            <w:noWrap w:val="0"/>
            <w:vAlign w:val="center"/>
          </w:tcPr>
          <w:p w14:paraId="05DA2AA8">
            <w:pPr>
              <w:ind w:left="105"/>
              <w:jc w:val="center"/>
              <w:rPr>
                <w:rFonts w:hint="default" w:ascii="宋体" w:hAnsi="宋体" w:eastAsia="宋体" w:cs="宋体"/>
                <w:spacing w:val="6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24"/>
                <w:szCs w:val="24"/>
                <w:highlight w:val="none"/>
                <w:lang w:eastAsia="en-US"/>
              </w:rPr>
              <w:t>机型</w:t>
            </w:r>
          </w:p>
        </w:tc>
        <w:tc>
          <w:tcPr>
            <w:tcW w:w="4374" w:type="dxa"/>
            <w:tcBorders>
              <w:top w:val="single" w:color="auto" w:sz="4" w:space="0"/>
            </w:tcBorders>
            <w:noWrap w:val="0"/>
            <w:vAlign w:val="center"/>
          </w:tcPr>
          <w:p w14:paraId="759178DC">
            <w:pPr>
              <w:ind w:left="75"/>
              <w:jc w:val="center"/>
              <w:rPr>
                <w:rFonts w:hint="default" w:ascii="宋体" w:hAnsi="宋体" w:eastAsia="宋体" w:cs="宋体"/>
                <w:spacing w:val="-2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highlight w:val="none"/>
                <w:lang w:eastAsia="en-US"/>
              </w:rPr>
              <w:t>直升机</w:t>
            </w:r>
          </w:p>
        </w:tc>
      </w:tr>
      <w:tr w14:paraId="0C6E9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046" w:type="dxa"/>
            <w:noWrap w:val="0"/>
            <w:vAlign w:val="center"/>
          </w:tcPr>
          <w:p w14:paraId="381149A7">
            <w:pPr>
              <w:ind w:left="10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24"/>
                <w:szCs w:val="24"/>
                <w:highlight w:val="none"/>
                <w:lang w:eastAsia="en-US"/>
              </w:rPr>
              <w:t>作业喷幅(米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4374" w:type="dxa"/>
            <w:noWrap w:val="0"/>
            <w:vAlign w:val="center"/>
          </w:tcPr>
          <w:p w14:paraId="3D96E5A8">
            <w:pPr>
              <w:ind w:left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highlight w:val="none"/>
                <w:lang w:eastAsia="en-US"/>
              </w:rPr>
              <w:t>45-50</w:t>
            </w:r>
          </w:p>
        </w:tc>
      </w:tr>
      <w:tr w14:paraId="06410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046" w:type="dxa"/>
            <w:noWrap w:val="0"/>
            <w:vAlign w:val="center"/>
          </w:tcPr>
          <w:p w14:paraId="13701630">
            <w:pPr>
              <w:ind w:left="10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10"/>
                <w:kern w:val="0"/>
                <w:sz w:val="24"/>
                <w:szCs w:val="24"/>
                <w:highlight w:val="none"/>
                <w:lang w:eastAsia="en-US"/>
              </w:rPr>
              <w:t>航速(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en-US"/>
              </w:rPr>
              <w:t>km</w:t>
            </w:r>
            <w:r>
              <w:rPr>
                <w:rFonts w:hint="eastAsia" w:ascii="宋体" w:hAnsi="宋体" w:eastAsia="宋体" w:cs="宋体"/>
                <w:spacing w:val="10"/>
                <w:kern w:val="0"/>
                <w:sz w:val="24"/>
                <w:szCs w:val="24"/>
                <w:highlight w:val="none"/>
                <w:lang w:eastAsia="en-US"/>
              </w:rPr>
              <w:t>)</w:t>
            </w:r>
          </w:p>
        </w:tc>
        <w:tc>
          <w:tcPr>
            <w:tcW w:w="4374" w:type="dxa"/>
            <w:noWrap w:val="0"/>
            <w:vAlign w:val="center"/>
          </w:tcPr>
          <w:p w14:paraId="7BC56116">
            <w:pPr>
              <w:ind w:left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position w:val="-2"/>
                <w:sz w:val="24"/>
                <w:szCs w:val="24"/>
                <w:highlight w:val="none"/>
                <w:lang w:eastAsia="en-US"/>
              </w:rPr>
              <w:t>110-130</w:t>
            </w:r>
          </w:p>
        </w:tc>
      </w:tr>
      <w:tr w14:paraId="7B0E9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046" w:type="dxa"/>
            <w:noWrap w:val="0"/>
            <w:vAlign w:val="center"/>
          </w:tcPr>
          <w:p w14:paraId="4722DB7F">
            <w:pPr>
              <w:ind w:left="10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highlight w:val="none"/>
              </w:rPr>
              <w:t>每架次有效喷药作业时间（按载药量600公斤计算）(分钟)</w:t>
            </w:r>
          </w:p>
        </w:tc>
        <w:tc>
          <w:tcPr>
            <w:tcW w:w="4374" w:type="dxa"/>
            <w:noWrap w:val="0"/>
            <w:vAlign w:val="center"/>
          </w:tcPr>
          <w:p w14:paraId="1C4B79ED">
            <w:pPr>
              <w:ind w:left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≥20 (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highlight w:val="none"/>
              </w:rPr>
              <w:t>其他载药量以此类推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)</w:t>
            </w:r>
          </w:p>
        </w:tc>
      </w:tr>
      <w:tr w14:paraId="59181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046" w:type="dxa"/>
            <w:noWrap w:val="0"/>
            <w:vAlign w:val="center"/>
          </w:tcPr>
          <w:p w14:paraId="1D582BA7">
            <w:pPr>
              <w:ind w:left="10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highlight w:val="none"/>
                <w:lang w:eastAsia="en-US"/>
              </w:rPr>
              <w:t>一次作业面积(亩)</w:t>
            </w:r>
          </w:p>
        </w:tc>
        <w:tc>
          <w:tcPr>
            <w:tcW w:w="4374" w:type="dxa"/>
            <w:noWrap w:val="0"/>
            <w:vAlign w:val="center"/>
          </w:tcPr>
          <w:p w14:paraId="5E78A539">
            <w:pPr>
              <w:ind w:left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-3"/>
                <w:sz w:val="24"/>
                <w:szCs w:val="24"/>
                <w:highlight w:val="none"/>
              </w:rPr>
              <w:t>2500-3000</w:t>
            </w:r>
          </w:p>
        </w:tc>
      </w:tr>
      <w:tr w14:paraId="3572C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046" w:type="dxa"/>
            <w:noWrap w:val="0"/>
            <w:vAlign w:val="center"/>
          </w:tcPr>
          <w:p w14:paraId="4F69F27B">
            <w:pPr>
              <w:ind w:left="10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highlight w:val="none"/>
                <w:lang w:eastAsia="en-US"/>
              </w:rPr>
              <w:t>一天作业面积(亩)</w:t>
            </w:r>
          </w:p>
        </w:tc>
        <w:tc>
          <w:tcPr>
            <w:tcW w:w="4374" w:type="dxa"/>
            <w:noWrap w:val="0"/>
            <w:vAlign w:val="center"/>
          </w:tcPr>
          <w:p w14:paraId="2E0CA22B">
            <w:pPr>
              <w:ind w:left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highlight w:val="none"/>
                <w:lang w:eastAsia="en-US"/>
              </w:rPr>
              <w:t>30000-50000</w:t>
            </w:r>
          </w:p>
        </w:tc>
      </w:tr>
    </w:tbl>
    <w:p w14:paraId="11458EC9">
      <w:pPr>
        <w:spacing w:before="171" w:line="360" w:lineRule="auto"/>
        <w:ind w:firstLine="576"/>
        <w:rPr>
          <w:rFonts w:hint="default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（二）飞防效果实施方案及技术参数</w:t>
      </w:r>
    </w:p>
    <w:p w14:paraId="165F3669">
      <w:pPr>
        <w:spacing w:line="360" w:lineRule="auto"/>
        <w:ind w:right="6" w:firstLine="552"/>
        <w:jc w:val="left"/>
        <w:rPr>
          <w:rFonts w:hint="default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、飞机喷洒药液密度。每平方厘米叶片雾滴在5滴以上。保证作业区内施药全覆盖、无缝隙，所有树木均匀施药，局部区域如遇喷药不均匀，留缝隙，造成飞防达不到标准的，不予计算飞防架次和面积，乙方应当按照甲方要求免费重新飞防。</w:t>
      </w:r>
    </w:p>
    <w:p w14:paraId="721F3CFD">
      <w:pPr>
        <w:spacing w:line="360" w:lineRule="auto"/>
        <w:ind w:right="23" w:firstLine="480"/>
        <w:rPr>
          <w:rFonts w:hint="default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2、飞防效果 ：实行防治一代包全年的效果(飞防前情况不包括)。飞防区域内，美国白蛾有虫株率控制在1%以下，且全年叶片保存率不低于85%。漏喷率控制在0.01%以内，并能提供完整的喷药飞行航迹。</w:t>
      </w:r>
    </w:p>
    <w:p w14:paraId="2443E517">
      <w:pPr>
        <w:spacing w:line="360" w:lineRule="auto"/>
        <w:ind w:right="23" w:firstLine="584"/>
        <w:rPr>
          <w:rFonts w:hint="default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三）施用药剂。根据《国家林业和草原局生物灾害防控中心文件（防控发［2021］14号）推荐目录》精神结合本地实际情况，药品选择使用文件推荐目录中的25%甲维·灭幼脲、25%阿维·灭幼脲、10%甲维·除虫脲、25%灭幼脲、20%除虫脲、</w:t>
      </w:r>
      <w:r>
        <w:rPr>
          <w:rFonts w:hint="eastAsia" w:ascii="宋体" w:hAnsi="宋体" w:eastAsia="Arial" w:cs="宋体"/>
          <w:color w:val="000000"/>
          <w:kern w:val="0"/>
          <w:sz w:val="24"/>
          <w:szCs w:val="24"/>
          <w:highlight w:val="none"/>
        </w:rPr>
        <w:t>5%杀铃脲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 w:eastAsia="Arial" w:cs="宋体"/>
          <w:color w:val="000000"/>
          <w:kern w:val="0"/>
          <w:sz w:val="24"/>
          <w:szCs w:val="24"/>
          <w:highlight w:val="none"/>
        </w:rPr>
        <w:t>1%苦参碱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等农药中的一种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防控发［2021］14号推荐厂家生产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）及对水产养殖无碍的药剂(水产养殖规避点喷洒，投标人自选）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用于本项目的实施。所使用药品为正规厂家生产，须提供农药三证（农药登记证、农药生产许可证或批准文件、农药标准）复印件或扫描件并经生产厂家确认。投标文件须根据选用药剂制定飞防用药计划，包括药物配比、用药量、用药效果预测、次生灾害应急措施等。</w:t>
      </w:r>
    </w:p>
    <w:p w14:paraId="3FB871D5">
      <w:pPr>
        <w:spacing w:line="360" w:lineRule="auto"/>
        <w:ind w:firstLine="498"/>
        <w:outlineLvl w:val="0"/>
        <w:rPr>
          <w:rFonts w:hint="default" w:ascii="宋体" w:hAnsi="宋体" w:eastAsia="宋体" w:cs="宋体"/>
          <w:kern w:val="0"/>
          <w:sz w:val="24"/>
          <w:szCs w:val="24"/>
          <w:highlight w:val="none"/>
        </w:rPr>
      </w:pPr>
      <w:bookmarkStart w:id="4" w:name="_Toc19759"/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（四）作业要求：投标人需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</w:rPr>
        <w:t>确保同时使用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载重量不低于投标文件中飞机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</w:rPr>
        <w:t>2架用于本项目实施（中标后如不能同时按要求提供2架直升机实施项目，按违约处理）。飞机性能必须完好、安全，喷药设备齐全、先进，飞防过程中喷洒均匀；防治效果达到95%以上，漏喷率控制在0.01%以内，并能提供完整的喷药飞行航迹；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用于作业的飞机要能按天提供完整的飞机施药作业航迹。全部飞防作业结束后，中标单位在10天内需将全部飞防航迹无理由、无条件提供给甲方(招标人),否则视作违约，按违约处理。</w:t>
      </w:r>
    </w:p>
    <w:p w14:paraId="15B6203C">
      <w:pPr>
        <w:spacing w:line="360" w:lineRule="auto"/>
        <w:ind w:firstLine="498"/>
        <w:outlineLvl w:val="0"/>
        <w:rPr>
          <w:rFonts w:hint="default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4"/>
          <w:kern w:val="0"/>
          <w:sz w:val="24"/>
          <w:szCs w:val="24"/>
          <w:highlight w:val="none"/>
        </w:rPr>
        <w:t>三</w:t>
      </w:r>
      <w:r>
        <w:rPr>
          <w:rFonts w:hint="eastAsia" w:ascii="宋体" w:hAnsi="宋体" w:eastAsia="宋体" w:cs="宋体"/>
          <w:b/>
          <w:bCs/>
          <w:spacing w:val="-12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4"/>
          <w:kern w:val="0"/>
          <w:sz w:val="24"/>
          <w:szCs w:val="24"/>
          <w:highlight w:val="none"/>
        </w:rPr>
        <w:t>、飞防时间</w:t>
      </w:r>
      <w:bookmarkEnd w:id="4"/>
    </w:p>
    <w:p w14:paraId="70B7B2C7">
      <w:pPr>
        <w:spacing w:line="360" w:lineRule="auto"/>
        <w:ind w:firstLine="600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具体飞防时间按采购人要求，以实际测报为准。</w:t>
      </w:r>
    </w:p>
    <w:p w14:paraId="0B932A55">
      <w:pPr>
        <w:numPr>
          <w:ilvl w:val="0"/>
          <w:numId w:val="1"/>
        </w:numPr>
        <w:spacing w:line="360" w:lineRule="auto"/>
        <w:ind w:firstLine="480"/>
        <w:outlineLvl w:val="0"/>
        <w:rPr>
          <w:rFonts w:hint="default" w:ascii="Times New Roman" w:hAnsi="Times New Roman" w:eastAsia="宋体" w:cs="Courier New"/>
          <w:b/>
          <w:bCs/>
          <w:color w:val="000000"/>
          <w:kern w:val="0"/>
          <w:sz w:val="24"/>
          <w:szCs w:val="24"/>
          <w:highlight w:val="none"/>
        </w:rPr>
      </w:pPr>
      <w:bookmarkStart w:id="5" w:name="_Toc21098"/>
      <w:r>
        <w:rPr>
          <w:rFonts w:hint="eastAsia" w:ascii="Times New Roman" w:hAnsi="Times New Roman" w:eastAsia="宋体" w:cs="Courier New"/>
          <w:b/>
          <w:bCs/>
          <w:color w:val="000000"/>
          <w:kern w:val="0"/>
          <w:sz w:val="24"/>
          <w:szCs w:val="24"/>
          <w:highlight w:val="none"/>
        </w:rPr>
        <w:t>其它要求</w:t>
      </w:r>
      <w:bookmarkEnd w:id="5"/>
    </w:p>
    <w:p w14:paraId="1A9F4F91">
      <w:pPr>
        <w:spacing w:line="360" w:lineRule="auto"/>
        <w:ind w:firstLine="480"/>
        <w:outlineLvl w:val="1"/>
        <w:rPr>
          <w:rFonts w:hint="default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</w:pPr>
      <w:bookmarkStart w:id="6" w:name="_Toc21557"/>
      <w:r>
        <w:rPr>
          <w:rFonts w:hint="eastAsia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  <w:t>（一）项目组人员：</w:t>
      </w:r>
      <w:bookmarkEnd w:id="6"/>
    </w:p>
    <w:p w14:paraId="2D223615">
      <w:pPr>
        <w:spacing w:line="360" w:lineRule="auto"/>
        <w:ind w:firstLine="480"/>
        <w:rPr>
          <w:rFonts w:hint="default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  <w:t>项目组成员不少于5人。</w:t>
      </w:r>
    </w:p>
    <w:p w14:paraId="1073399A">
      <w:pPr>
        <w:spacing w:line="360" w:lineRule="auto"/>
        <w:ind w:firstLine="480"/>
        <w:outlineLvl w:val="1"/>
        <w:rPr>
          <w:rFonts w:hint="default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</w:pPr>
      <w:bookmarkStart w:id="7" w:name="_Toc23377"/>
      <w:r>
        <w:rPr>
          <w:rFonts w:hint="eastAsia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  <w:t>（二）飞防项目实施方案：</w:t>
      </w:r>
      <w:bookmarkEnd w:id="7"/>
    </w:p>
    <w:p w14:paraId="0B02CD98">
      <w:pPr>
        <w:spacing w:line="360" w:lineRule="auto"/>
        <w:ind w:firstLine="480"/>
        <w:rPr>
          <w:rFonts w:hint="default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  <w:t>项目实施步骤、计划进度安排、药剂的选择，施药方案，机型选择方案，效果预测及安全保障措施。</w:t>
      </w:r>
    </w:p>
    <w:p w14:paraId="7E1C708C">
      <w:pPr>
        <w:spacing w:line="360" w:lineRule="auto"/>
        <w:ind w:firstLine="480"/>
        <w:outlineLvl w:val="1"/>
        <w:rPr>
          <w:rFonts w:hint="default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</w:pPr>
      <w:bookmarkStart w:id="8" w:name="_Toc7603"/>
      <w:r>
        <w:rPr>
          <w:rFonts w:hint="eastAsia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  <w:t>（三）应急及突发事件的处理措施：</w:t>
      </w:r>
      <w:bookmarkEnd w:id="8"/>
    </w:p>
    <w:p w14:paraId="79115499">
      <w:pPr>
        <w:spacing w:line="360" w:lineRule="auto"/>
        <w:ind w:firstLine="480"/>
        <w:rPr>
          <w:rFonts w:hint="default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  <w:t>制定详细的应急预案，应急和保障机制健全，能够预见并有效应对各种突发事件，有明确的应急组织机构，能落实到具体负责人。</w:t>
      </w:r>
    </w:p>
    <w:p w14:paraId="73157C07">
      <w:pPr>
        <w:widowControl w:val="0"/>
        <w:numPr>
          <w:ilvl w:val="0"/>
          <w:numId w:val="2"/>
        </w:numPr>
        <w:spacing w:line="360" w:lineRule="auto"/>
        <w:ind w:left="0" w:firstLine="480"/>
        <w:jc w:val="both"/>
        <w:outlineLvl w:val="1"/>
        <w:rPr>
          <w:rFonts w:hint="default" w:ascii="Times New Roman" w:hAnsi="Times New Roman" w:eastAsia="宋体" w:cs="Courier New"/>
          <w:color w:val="000000"/>
          <w:sz w:val="24"/>
          <w:szCs w:val="24"/>
          <w:highlight w:val="none"/>
          <w:lang w:val="en-US" w:eastAsia="zh-CN" w:bidi="ar-SA"/>
        </w:rPr>
      </w:pPr>
      <w:bookmarkStart w:id="9" w:name="_Toc6103"/>
      <w:r>
        <w:rPr>
          <w:rFonts w:hint="eastAsia" w:ascii="Times New Roman" w:hAnsi="Times New Roman" w:eastAsia="宋体" w:cs="Courier New"/>
          <w:color w:val="000000"/>
          <w:sz w:val="24"/>
          <w:szCs w:val="24"/>
          <w:highlight w:val="none"/>
          <w:lang w:val="en-US" w:eastAsia="zh-CN" w:bidi="ar-SA"/>
        </w:rPr>
        <w:t>药品选择及用药质量保障</w:t>
      </w:r>
      <w:bookmarkEnd w:id="9"/>
    </w:p>
    <w:p w14:paraId="6DCB2513">
      <w:pPr>
        <w:widowControl w:val="0"/>
        <w:spacing w:line="360" w:lineRule="auto"/>
        <w:ind w:left="0" w:firstLine="480"/>
        <w:jc w:val="both"/>
        <w:rPr>
          <w:rFonts w:hint="default" w:ascii="Times New Roman" w:hAnsi="Times New Roman" w:eastAsia="宋体" w:cs="Courier New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Courier New"/>
          <w:color w:val="000000"/>
          <w:sz w:val="24"/>
          <w:szCs w:val="24"/>
          <w:highlight w:val="none"/>
          <w:lang w:val="en-US" w:eastAsia="zh-CN" w:bidi="ar-SA"/>
        </w:rPr>
        <w:t>投标人针对本项目使用的药剂符合国家行业标准并满足招标要求，以及针对本项目做出质量保障措施。</w:t>
      </w:r>
    </w:p>
    <w:p w14:paraId="6A890112">
      <w:pPr>
        <w:spacing w:line="360" w:lineRule="auto"/>
        <w:ind w:firstLine="480"/>
        <w:rPr>
          <w:rFonts w:hint="default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</w:pPr>
      <w:bookmarkStart w:id="10" w:name="_Toc19518"/>
      <w:r>
        <w:rPr>
          <w:rFonts w:hint="eastAsia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  <w:t>（五）售后服务方案</w:t>
      </w:r>
      <w:bookmarkEnd w:id="10"/>
    </w:p>
    <w:p w14:paraId="76917402">
      <w:pPr>
        <w:spacing w:line="360" w:lineRule="auto"/>
        <w:ind w:firstLine="480"/>
        <w:rPr>
          <w:rFonts w:hint="eastAsia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Courier New"/>
          <w:color w:val="000000"/>
          <w:kern w:val="0"/>
          <w:sz w:val="24"/>
          <w:szCs w:val="24"/>
          <w:highlight w:val="none"/>
        </w:rPr>
        <w:t>售后服务：售后服务体系完善，配备大型喷药车辆或无人机等补防设备，能够及时提供售后服务。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013A64"/>
    <w:multiLevelType w:val="multilevel"/>
    <w:tmpl w:val="D3013A6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316553AE"/>
    <w:multiLevelType w:val="multilevel"/>
    <w:tmpl w:val="316553A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B0A62"/>
    <w:rsid w:val="7F0B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1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2025-06-03T07:53:00Z</dcterms:created>
  <dc:creator>.....</dc:creator>
  <cp:lastModifiedBy>.....</cp:lastModifiedBy>
  <dcterms:modified xsi:type="dcterms:W3CDTF">2025-06-03T07:53:31Z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E0C6D2CA352944E8B993827CCD372579_11</vt:lpwstr>
  </property>
  <property fmtid="{D5CDD505-2E9C-101B-9397-08002B2CF9AE}" pid="4" name="KSOTemplateDocerSaveRecord">
    <vt:lpwstr>eyJoZGlkIjoiZGM2YmNiMjMxNDNkYTc0MjI2Njg5YTkzNTJiOGM3YjYiLCJ1c2VySWQiOiI2MDUzNjE4MzgifQ==</vt:lpwstr>
  </property>
</Properties>
</file>